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6CA90" w14:textId="55149221" w:rsidR="00364DC8" w:rsidRPr="00682CCC" w:rsidRDefault="00364DC8" w:rsidP="00682CCC">
      <w:pPr>
        <w:jc w:val="center"/>
        <w:rPr>
          <w:rFonts w:asciiTheme="minorHAnsi" w:hAnsiTheme="minorHAnsi" w:cstheme="minorBidi"/>
          <w:b/>
          <w:bCs/>
          <w:color w:val="7030A0"/>
          <w:sz w:val="40"/>
          <w:szCs w:val="40"/>
        </w:rPr>
      </w:pPr>
      <w:r w:rsidRPr="00682CCC">
        <w:rPr>
          <w:rFonts w:asciiTheme="minorHAnsi" w:hAnsiTheme="minorHAnsi" w:cstheme="minorBidi"/>
          <w:b/>
          <w:bCs/>
          <w:color w:val="7030A0"/>
          <w:sz w:val="40"/>
          <w:szCs w:val="40"/>
        </w:rPr>
        <w:t>Bespoke Curriculum</w:t>
      </w:r>
    </w:p>
    <w:p w14:paraId="3665F1CC" w14:textId="77777777" w:rsidR="00364DC8" w:rsidRDefault="00364DC8" w:rsidP="00364DC8">
      <w:pPr>
        <w:jc w:val="both"/>
        <w:rPr>
          <w:rFonts w:asciiTheme="minorHAnsi" w:hAnsiTheme="minorHAnsi" w:cstheme="minorHAnsi"/>
          <w:sz w:val="24"/>
          <w:szCs w:val="24"/>
        </w:rPr>
      </w:pPr>
    </w:p>
    <w:p w14:paraId="4EAD14B2"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The school provides three alternative routes for students who have found it difficult for one or more reasons to access the main school environment. This is part of our mission to ensure that we are a fully inclusive school. These routes are the LDC, Connect and Bridge.</w:t>
      </w:r>
    </w:p>
    <w:p w14:paraId="60FFD8E3" w14:textId="77777777" w:rsidR="00A3320F" w:rsidRDefault="00A3320F" w:rsidP="00A3320F">
      <w:pPr>
        <w:pStyle w:val="NormalWeb"/>
        <w:shd w:val="clear" w:color="auto" w:fill="FFFFFF"/>
        <w:spacing w:before="0" w:beforeAutospacing="0" w:after="0" w:afterAutospacing="0"/>
        <w:rPr>
          <w:rFonts w:ascii="Open Sans Light" w:hAnsi="Open Sans Light" w:cs="Open Sans Light"/>
          <w:color w:val="424242"/>
          <w:sz w:val="22"/>
          <w:szCs w:val="22"/>
          <w:bdr w:val="none" w:sz="0" w:space="0" w:color="auto" w:frame="1"/>
        </w:rPr>
      </w:pPr>
      <w:r>
        <w:rPr>
          <w:rFonts w:ascii="Open Sans Light" w:hAnsi="Open Sans Light" w:cs="Open Sans Light"/>
          <w:color w:val="424242"/>
          <w:sz w:val="22"/>
          <w:szCs w:val="22"/>
          <w:bdr w:val="none" w:sz="0" w:space="0" w:color="auto" w:frame="1"/>
        </w:rPr>
        <w:t>The school has a number of different strategies to try and ensure that all students access the main school environment; when a student is vulnerable and/or having difficulties, the school will work with the student and parents and put in place as much support as possible to help the student be happy and successful.</w:t>
      </w:r>
    </w:p>
    <w:p w14:paraId="2BF8F98B" w14:textId="77777777" w:rsidR="001834D1" w:rsidRDefault="001834D1" w:rsidP="00A3320F">
      <w:pPr>
        <w:pStyle w:val="NormalWeb"/>
        <w:shd w:val="clear" w:color="auto" w:fill="FFFFFF"/>
        <w:spacing w:before="0" w:beforeAutospacing="0" w:after="0" w:afterAutospacing="0"/>
        <w:rPr>
          <w:rFonts w:ascii="Calibri" w:hAnsi="Calibri" w:cs="Calibri"/>
          <w:color w:val="424242"/>
          <w:sz w:val="22"/>
          <w:szCs w:val="22"/>
        </w:rPr>
      </w:pPr>
    </w:p>
    <w:p w14:paraId="52306FB4" w14:textId="098A109B"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Difficulties may include</w:t>
      </w:r>
      <w:r w:rsidR="001834D1">
        <w:rPr>
          <w:rFonts w:ascii="Open Sans Light" w:hAnsi="Open Sans Light" w:cs="Open Sans Light"/>
          <w:color w:val="424242"/>
          <w:sz w:val="22"/>
          <w:szCs w:val="22"/>
          <w:bdr w:val="none" w:sz="0" w:space="0" w:color="auto" w:frame="1"/>
        </w:rPr>
        <w:t>:</w:t>
      </w:r>
    </w:p>
    <w:p w14:paraId="273A342B"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EBSA – Emotionally Based School Avoidance</w:t>
      </w:r>
    </w:p>
    <w:p w14:paraId="7EF01F0C"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Repeated truancy</w:t>
      </w:r>
    </w:p>
    <w:p w14:paraId="5CE40FDC"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Repeated and/or severe poor behaviour and disruption</w:t>
      </w:r>
    </w:p>
    <w:p w14:paraId="3441588B"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Poor mental health and anxiety</w:t>
      </w:r>
    </w:p>
    <w:p w14:paraId="49EE9C5F"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61F1B41D"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The school may use these routes to help a student feel more confident with their learning and to re-engage in main school.</w:t>
      </w:r>
    </w:p>
    <w:p w14:paraId="1097A0F1"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24060050"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b/>
          <w:bCs/>
          <w:color w:val="424242"/>
          <w:sz w:val="22"/>
          <w:szCs w:val="22"/>
          <w:bdr w:val="none" w:sz="0" w:space="0" w:color="auto" w:frame="1"/>
        </w:rPr>
        <w:t>The senior leadership team at BBEC has the final decision regarding who is placed in any of bespoke provisions.</w:t>
      </w:r>
    </w:p>
    <w:p w14:paraId="1546D0D6" w14:textId="10ABCC40"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p>
    <w:p w14:paraId="58C65810"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b/>
          <w:bCs/>
          <w:color w:val="424242"/>
          <w:sz w:val="22"/>
          <w:szCs w:val="22"/>
          <w:bdr w:val="none" w:sz="0" w:space="0" w:color="auto" w:frame="1"/>
        </w:rPr>
        <w:t>CONNECT AND BRIDGE</w:t>
      </w:r>
    </w:p>
    <w:p w14:paraId="4C2D521A"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01B385B1"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We have a separate area of the school for students who are not coping in a main school environment. This alternative exists as a preventative and inclusive measure.</w:t>
      </w:r>
    </w:p>
    <w:p w14:paraId="5F1C8D66" w14:textId="77777777" w:rsidR="00A3320F" w:rsidRPr="00335E6E" w:rsidRDefault="00A3320F" w:rsidP="00A3320F">
      <w:pPr>
        <w:pStyle w:val="NormalWeb"/>
        <w:shd w:val="clear" w:color="auto" w:fill="FFFFFF"/>
        <w:spacing w:before="0" w:beforeAutospacing="0" w:after="0" w:afterAutospacing="0"/>
        <w:rPr>
          <w:rFonts w:ascii="Calibri" w:hAnsi="Calibri" w:cs="Calibri"/>
          <w:b/>
          <w:bCs/>
          <w:color w:val="7030A0"/>
          <w:sz w:val="22"/>
          <w:szCs w:val="22"/>
        </w:rPr>
      </w:pPr>
      <w:r w:rsidRPr="00335E6E">
        <w:rPr>
          <w:rFonts w:ascii="Open Sans Light" w:hAnsi="Open Sans Light" w:cs="Open Sans Light"/>
          <w:b/>
          <w:bCs/>
          <w:color w:val="7030A0"/>
          <w:sz w:val="22"/>
          <w:szCs w:val="22"/>
          <w:bdr w:val="none" w:sz="0" w:space="0" w:color="auto" w:frame="1"/>
        </w:rPr>
        <w:t> </w:t>
      </w:r>
    </w:p>
    <w:p w14:paraId="65696170" w14:textId="77777777" w:rsidR="00A3320F" w:rsidRPr="00335E6E" w:rsidRDefault="00A3320F" w:rsidP="00A3320F">
      <w:pPr>
        <w:pStyle w:val="NormalWeb"/>
        <w:shd w:val="clear" w:color="auto" w:fill="FFFFFF"/>
        <w:spacing w:before="0" w:beforeAutospacing="0" w:after="0" w:afterAutospacing="0"/>
        <w:rPr>
          <w:rFonts w:ascii="Calibri" w:hAnsi="Calibri" w:cs="Calibri"/>
          <w:b/>
          <w:bCs/>
          <w:color w:val="7030A0"/>
          <w:sz w:val="22"/>
          <w:szCs w:val="22"/>
        </w:rPr>
      </w:pPr>
      <w:r w:rsidRPr="00335E6E">
        <w:rPr>
          <w:rFonts w:ascii="Open Sans Light" w:hAnsi="Open Sans Light" w:cs="Open Sans Light"/>
          <w:b/>
          <w:bCs/>
          <w:color w:val="7030A0"/>
          <w:sz w:val="22"/>
          <w:szCs w:val="22"/>
          <w:bdr w:val="none" w:sz="0" w:space="0" w:color="auto" w:frame="1"/>
        </w:rPr>
        <w:t>CONNECT</w:t>
      </w:r>
    </w:p>
    <w:p w14:paraId="16CBFF4D"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This alternative exists for KS3 students who, despite a range of interventions and support, have shown that they have difficulty accessing the main school environment. This alternative exists as a preventative and inclusive measure.</w:t>
      </w:r>
    </w:p>
    <w:p w14:paraId="2B0DD8E2"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4D461A83" w14:textId="5A27DBBB"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Students in Connect follow a full curriculum which is broad and balanced</w:t>
      </w:r>
      <w:r w:rsidR="00563D79">
        <w:rPr>
          <w:rFonts w:ascii="Open Sans Light" w:hAnsi="Open Sans Light" w:cs="Open Sans Light"/>
          <w:color w:val="424242"/>
          <w:sz w:val="22"/>
          <w:szCs w:val="22"/>
          <w:bdr w:val="none" w:sz="0" w:space="0" w:color="auto" w:frame="1"/>
        </w:rPr>
        <w:t>:</w:t>
      </w:r>
    </w:p>
    <w:p w14:paraId="1573E736" w14:textId="703241BB" w:rsidR="00A3320F" w:rsidRDefault="00A3320F" w:rsidP="00335E6E">
      <w:pPr>
        <w:pStyle w:val="NormalWeb"/>
        <w:numPr>
          <w:ilvl w:val="0"/>
          <w:numId w:val="10"/>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English</w:t>
      </w:r>
    </w:p>
    <w:p w14:paraId="1A79D15F" w14:textId="4BF9084B" w:rsidR="00A3320F" w:rsidRDefault="00A3320F" w:rsidP="00335E6E">
      <w:pPr>
        <w:pStyle w:val="NormalWeb"/>
        <w:numPr>
          <w:ilvl w:val="0"/>
          <w:numId w:val="10"/>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Maths</w:t>
      </w:r>
    </w:p>
    <w:p w14:paraId="4E61D951" w14:textId="2BBFF0DA" w:rsidR="00A3320F" w:rsidRDefault="00A3320F" w:rsidP="00335E6E">
      <w:pPr>
        <w:pStyle w:val="NormalWeb"/>
        <w:numPr>
          <w:ilvl w:val="0"/>
          <w:numId w:val="10"/>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Science</w:t>
      </w:r>
    </w:p>
    <w:p w14:paraId="1ADACDEC" w14:textId="7D87993C" w:rsidR="00A3320F" w:rsidRDefault="00A3320F" w:rsidP="00335E6E">
      <w:pPr>
        <w:pStyle w:val="NormalWeb"/>
        <w:numPr>
          <w:ilvl w:val="0"/>
          <w:numId w:val="10"/>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Geography</w:t>
      </w:r>
    </w:p>
    <w:p w14:paraId="571A93E0" w14:textId="560E7BEC" w:rsidR="00A3320F" w:rsidRPr="00335E6E" w:rsidRDefault="00A3320F" w:rsidP="00335E6E">
      <w:pPr>
        <w:pStyle w:val="NormalWeb"/>
        <w:numPr>
          <w:ilvl w:val="0"/>
          <w:numId w:val="10"/>
        </w:numPr>
        <w:shd w:val="clear" w:color="auto" w:fill="FFFFFF"/>
        <w:spacing w:before="0" w:beforeAutospacing="0" w:after="0" w:afterAutospacing="0"/>
        <w:rPr>
          <w:rFonts w:ascii="Open Sans Light" w:hAnsi="Open Sans Light" w:cs="Open Sans Light"/>
          <w:color w:val="424242"/>
          <w:sz w:val="22"/>
          <w:szCs w:val="22"/>
          <w:bdr w:val="none" w:sz="0" w:space="0" w:color="auto" w:frame="1"/>
        </w:rPr>
      </w:pPr>
      <w:r w:rsidRPr="00335E6E">
        <w:rPr>
          <w:rFonts w:ascii="Open Sans Light" w:hAnsi="Open Sans Light" w:cs="Open Sans Light"/>
          <w:color w:val="424242"/>
          <w:sz w:val="22"/>
          <w:szCs w:val="22"/>
          <w:bdr w:val="none" w:sz="0" w:space="0" w:color="auto" w:frame="1"/>
        </w:rPr>
        <w:t>History</w:t>
      </w:r>
    </w:p>
    <w:p w14:paraId="0BB8251C" w14:textId="6D2DBB88" w:rsidR="00212221" w:rsidRPr="00335E6E" w:rsidRDefault="00212221" w:rsidP="00335E6E">
      <w:pPr>
        <w:pStyle w:val="NormalWeb"/>
        <w:numPr>
          <w:ilvl w:val="0"/>
          <w:numId w:val="9"/>
        </w:numPr>
        <w:shd w:val="clear" w:color="auto" w:fill="FFFFFF"/>
        <w:spacing w:before="0" w:beforeAutospacing="0" w:after="0" w:afterAutospacing="0"/>
        <w:rPr>
          <w:rFonts w:ascii="Open Sans Light" w:hAnsi="Open Sans Light" w:cs="Open Sans Light"/>
          <w:color w:val="424242"/>
          <w:sz w:val="22"/>
          <w:szCs w:val="22"/>
        </w:rPr>
      </w:pPr>
      <w:r w:rsidRPr="00335E6E">
        <w:rPr>
          <w:rFonts w:ascii="Open Sans Light" w:hAnsi="Open Sans Light" w:cs="Open Sans Light"/>
          <w:color w:val="424242"/>
          <w:sz w:val="22"/>
          <w:szCs w:val="22"/>
        </w:rPr>
        <w:t>Spanish</w:t>
      </w:r>
    </w:p>
    <w:p w14:paraId="29B5871A" w14:textId="04B4E095" w:rsidR="00212221" w:rsidRPr="00212221" w:rsidRDefault="00A3320F" w:rsidP="00335E6E">
      <w:pPr>
        <w:pStyle w:val="NormalWeb"/>
        <w:numPr>
          <w:ilvl w:val="0"/>
          <w:numId w:val="9"/>
        </w:numPr>
        <w:shd w:val="clear" w:color="auto" w:fill="FFFFFF"/>
        <w:spacing w:before="0" w:beforeAutospacing="0" w:after="0" w:afterAutospacing="0"/>
        <w:rPr>
          <w:rFonts w:ascii="Open Sans Light" w:hAnsi="Open Sans Light" w:cs="Open Sans Light"/>
          <w:color w:val="424242"/>
          <w:sz w:val="22"/>
          <w:szCs w:val="22"/>
          <w:bdr w:val="none" w:sz="0" w:space="0" w:color="auto" w:frame="1"/>
        </w:rPr>
      </w:pPr>
      <w:r>
        <w:rPr>
          <w:rFonts w:ascii="Open Sans Light" w:hAnsi="Open Sans Light" w:cs="Open Sans Light"/>
          <w:color w:val="424242"/>
          <w:sz w:val="22"/>
          <w:szCs w:val="22"/>
          <w:bdr w:val="none" w:sz="0" w:space="0" w:color="auto" w:frame="1"/>
        </w:rPr>
        <w:t>Physical Education</w:t>
      </w:r>
    </w:p>
    <w:p w14:paraId="0F7A4B2C" w14:textId="2A18716C" w:rsidR="00A3320F" w:rsidRDefault="00A3320F" w:rsidP="00335E6E">
      <w:pPr>
        <w:pStyle w:val="NormalWeb"/>
        <w:numPr>
          <w:ilvl w:val="0"/>
          <w:numId w:val="9"/>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RE</w:t>
      </w:r>
    </w:p>
    <w:p w14:paraId="61A288CF" w14:textId="06C4060B" w:rsidR="00A3320F" w:rsidRDefault="00A3320F" w:rsidP="00335E6E">
      <w:pPr>
        <w:pStyle w:val="NormalWeb"/>
        <w:numPr>
          <w:ilvl w:val="0"/>
          <w:numId w:val="9"/>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Computing</w:t>
      </w:r>
    </w:p>
    <w:p w14:paraId="33676563" w14:textId="29288440" w:rsidR="00A3320F" w:rsidRDefault="00A3320F" w:rsidP="00335E6E">
      <w:pPr>
        <w:pStyle w:val="NormalWeb"/>
        <w:numPr>
          <w:ilvl w:val="0"/>
          <w:numId w:val="9"/>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Art</w:t>
      </w:r>
    </w:p>
    <w:p w14:paraId="20A947EE" w14:textId="12666431" w:rsidR="00A3320F" w:rsidRDefault="00A3320F" w:rsidP="00335E6E">
      <w:pPr>
        <w:pStyle w:val="NormalWeb"/>
        <w:numPr>
          <w:ilvl w:val="0"/>
          <w:numId w:val="9"/>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lastRenderedPageBreak/>
        <w:t>Music</w:t>
      </w:r>
      <w:r w:rsidR="00212221">
        <w:rPr>
          <w:rFonts w:ascii="Open Sans Light" w:hAnsi="Open Sans Light" w:cs="Open Sans Light"/>
          <w:color w:val="424242"/>
          <w:sz w:val="22"/>
          <w:szCs w:val="22"/>
          <w:bdr w:val="none" w:sz="0" w:space="0" w:color="auto" w:frame="1"/>
        </w:rPr>
        <w:t xml:space="preserve"> (through enrichment afternoons)</w:t>
      </w:r>
    </w:p>
    <w:p w14:paraId="19393B72" w14:textId="7D1E7693" w:rsidR="00A3320F" w:rsidRDefault="00A3320F" w:rsidP="00335E6E">
      <w:pPr>
        <w:pStyle w:val="NormalWeb"/>
        <w:numPr>
          <w:ilvl w:val="0"/>
          <w:numId w:val="9"/>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Drama</w:t>
      </w:r>
    </w:p>
    <w:p w14:paraId="43AA50EA" w14:textId="14B7F03F" w:rsidR="00A3320F" w:rsidRDefault="00A3320F" w:rsidP="00335E6E">
      <w:pPr>
        <w:pStyle w:val="NormalWeb"/>
        <w:numPr>
          <w:ilvl w:val="0"/>
          <w:numId w:val="9"/>
        </w:numPr>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Technology</w:t>
      </w:r>
    </w:p>
    <w:p w14:paraId="77EF0C4D" w14:textId="2E81B650" w:rsidR="00A3320F" w:rsidRDefault="00A3320F" w:rsidP="00335E6E">
      <w:pPr>
        <w:pStyle w:val="NormalWeb"/>
        <w:numPr>
          <w:ilvl w:val="0"/>
          <w:numId w:val="9"/>
        </w:numPr>
        <w:shd w:val="clear" w:color="auto" w:fill="FFFFFF"/>
        <w:spacing w:before="0" w:beforeAutospacing="0" w:after="0" w:afterAutospacing="0"/>
        <w:rPr>
          <w:rFonts w:ascii="Open Sans Light" w:hAnsi="Open Sans Light" w:cs="Open Sans Light"/>
          <w:color w:val="424242"/>
          <w:sz w:val="22"/>
          <w:szCs w:val="22"/>
          <w:bdr w:val="none" w:sz="0" w:space="0" w:color="auto" w:frame="1"/>
        </w:rPr>
      </w:pPr>
      <w:r>
        <w:rPr>
          <w:rFonts w:ascii="Open Sans Light" w:hAnsi="Open Sans Light" w:cs="Open Sans Light"/>
          <w:color w:val="424242"/>
          <w:sz w:val="22"/>
          <w:szCs w:val="22"/>
          <w:bdr w:val="none" w:sz="0" w:space="0" w:color="auto" w:frame="1"/>
        </w:rPr>
        <w:t>PSHCE, including CEIAG (through VIP sessions)</w:t>
      </w:r>
    </w:p>
    <w:p w14:paraId="0D12819F" w14:textId="0D10B7CC" w:rsidR="00212221" w:rsidRDefault="00212221" w:rsidP="00A3320F">
      <w:pPr>
        <w:pStyle w:val="NormalWeb"/>
        <w:shd w:val="clear" w:color="auto" w:fill="FFFFFF"/>
        <w:spacing w:before="0" w:beforeAutospacing="0" w:after="0" w:afterAutospacing="0"/>
        <w:ind w:left="1080" w:hanging="360"/>
        <w:rPr>
          <w:rFonts w:ascii="Calibri" w:hAnsi="Calibri" w:cs="Calibri"/>
          <w:color w:val="424242"/>
          <w:sz w:val="22"/>
          <w:szCs w:val="22"/>
        </w:rPr>
      </w:pPr>
    </w:p>
    <w:p w14:paraId="28B7EA5F" w14:textId="77C63D38" w:rsidR="00A3320F" w:rsidRDefault="00A3320F" w:rsidP="00335E6E">
      <w:pPr>
        <w:pStyle w:val="NormalWeb"/>
        <w:shd w:val="clear" w:color="auto" w:fill="FFFFFF"/>
        <w:spacing w:before="0" w:beforeAutospacing="0" w:after="0" w:afterAutospacing="0"/>
        <w:ind w:firstLine="60"/>
        <w:rPr>
          <w:rFonts w:ascii="Calibri" w:hAnsi="Calibri" w:cs="Calibri"/>
          <w:color w:val="424242"/>
          <w:sz w:val="22"/>
          <w:szCs w:val="22"/>
        </w:rPr>
      </w:pPr>
    </w:p>
    <w:p w14:paraId="32A716DA"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A Behaviour Support Programme to help the students learn and develop expected behaviours is also part of their taught curriculum. This is delivered through their VIP sessions by the Connect Manager.</w:t>
      </w:r>
    </w:p>
    <w:p w14:paraId="4F2488F4"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47A6D7B9"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KS3 are taught together as a mixed age group; students may start to access mainstream provision as part of a reintegration back into mainstream provision. An individual plan is put in place for each student and reviewed regularly. For some students, a short period of time in Connect enables them to have a phased return into mainstream. For others, a longer period of time is necessary following these reviews.</w:t>
      </w:r>
    </w:p>
    <w:p w14:paraId="66AEC14D" w14:textId="5D1E13D6"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p>
    <w:p w14:paraId="593A92CB" w14:textId="77777777" w:rsidR="00A3320F" w:rsidRPr="00335E6E" w:rsidRDefault="00A3320F" w:rsidP="00A3320F">
      <w:pPr>
        <w:pStyle w:val="NormalWeb"/>
        <w:shd w:val="clear" w:color="auto" w:fill="FFFFFF"/>
        <w:spacing w:before="0" w:beforeAutospacing="0" w:after="0" w:afterAutospacing="0"/>
        <w:rPr>
          <w:rFonts w:ascii="Calibri" w:hAnsi="Calibri" w:cs="Calibri"/>
          <w:b/>
          <w:bCs/>
          <w:color w:val="7030A0"/>
          <w:sz w:val="22"/>
          <w:szCs w:val="22"/>
        </w:rPr>
      </w:pPr>
      <w:r w:rsidRPr="00335E6E">
        <w:rPr>
          <w:rFonts w:ascii="Open Sans Light" w:hAnsi="Open Sans Light" w:cs="Open Sans Light"/>
          <w:b/>
          <w:bCs/>
          <w:color w:val="7030A0"/>
          <w:sz w:val="22"/>
          <w:szCs w:val="22"/>
          <w:bdr w:val="none" w:sz="0" w:space="0" w:color="auto" w:frame="1"/>
        </w:rPr>
        <w:t>BRIDGE</w:t>
      </w:r>
    </w:p>
    <w:p w14:paraId="371E5E32"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This alternative exists for KS4 students who, despite a range of interventions and support, have shown that they have difficulty accessing the main school environment. This alternative exists as a preventative and inclusive measure.</w:t>
      </w:r>
    </w:p>
    <w:p w14:paraId="231085F3"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4BEF7054"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Bridge allows students to be taught in a small group setting by BBEC teachers with support and a high student to adult ratio.</w:t>
      </w:r>
    </w:p>
    <w:p w14:paraId="3BB51112"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2C5CAF1D"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Students in Bridge follow a broad and balanced curriculum pathway which is equitable with students in mainstream provision.</w:t>
      </w:r>
    </w:p>
    <w:p w14:paraId="7AB6C1A0"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w:t>
      </w:r>
    </w:p>
    <w:p w14:paraId="502F0C03" w14:textId="6EFFD289" w:rsidR="00A3320F" w:rsidRPr="008343E1" w:rsidRDefault="00A3320F" w:rsidP="00335E6E">
      <w:pPr>
        <w:pStyle w:val="NormalWeb"/>
        <w:numPr>
          <w:ilvl w:val="0"/>
          <w:numId w:val="8"/>
        </w:numPr>
        <w:shd w:val="clear" w:color="auto" w:fill="FFFFFF"/>
        <w:spacing w:before="0" w:beforeAutospacing="0" w:after="0" w:afterAutospacing="0"/>
        <w:rPr>
          <w:rFonts w:ascii="Calibri" w:hAnsi="Calibri" w:cs="Calibri"/>
          <w:color w:val="424242"/>
          <w:sz w:val="22"/>
          <w:szCs w:val="22"/>
        </w:rPr>
      </w:pPr>
      <w:r w:rsidRPr="008343E1">
        <w:rPr>
          <w:rFonts w:ascii="Open Sans Light" w:hAnsi="Open Sans Light" w:cs="Open Sans Light"/>
          <w:color w:val="424242"/>
          <w:sz w:val="22"/>
          <w:szCs w:val="22"/>
          <w:bdr w:val="none" w:sz="0" w:space="0" w:color="auto" w:frame="1"/>
        </w:rPr>
        <w:t>English Language</w:t>
      </w:r>
    </w:p>
    <w:p w14:paraId="37ECB6B7" w14:textId="1966A6B3" w:rsidR="00A3320F" w:rsidRPr="008343E1" w:rsidRDefault="00A3320F" w:rsidP="00335E6E">
      <w:pPr>
        <w:pStyle w:val="NormalWeb"/>
        <w:numPr>
          <w:ilvl w:val="0"/>
          <w:numId w:val="8"/>
        </w:numPr>
        <w:shd w:val="clear" w:color="auto" w:fill="FFFFFF"/>
        <w:spacing w:before="0" w:beforeAutospacing="0" w:after="0" w:afterAutospacing="0"/>
        <w:rPr>
          <w:rFonts w:ascii="Calibri" w:hAnsi="Calibri" w:cs="Calibri"/>
          <w:color w:val="424242"/>
          <w:sz w:val="22"/>
          <w:szCs w:val="22"/>
        </w:rPr>
      </w:pPr>
      <w:r w:rsidRPr="008343E1">
        <w:rPr>
          <w:rFonts w:ascii="Open Sans Light" w:hAnsi="Open Sans Light" w:cs="Open Sans Light"/>
          <w:color w:val="424242"/>
          <w:sz w:val="22"/>
          <w:szCs w:val="22"/>
          <w:bdr w:val="none" w:sz="0" w:space="0" w:color="auto" w:frame="1"/>
        </w:rPr>
        <w:t>English Literature</w:t>
      </w:r>
    </w:p>
    <w:p w14:paraId="0F2A6C57" w14:textId="1215D81A" w:rsidR="00A3320F" w:rsidRPr="008343E1" w:rsidRDefault="00A3320F" w:rsidP="00335E6E">
      <w:pPr>
        <w:pStyle w:val="NormalWeb"/>
        <w:numPr>
          <w:ilvl w:val="0"/>
          <w:numId w:val="8"/>
        </w:numPr>
        <w:shd w:val="clear" w:color="auto" w:fill="FFFFFF"/>
        <w:spacing w:before="0" w:beforeAutospacing="0" w:after="0" w:afterAutospacing="0"/>
        <w:rPr>
          <w:rFonts w:ascii="Calibri" w:hAnsi="Calibri" w:cs="Calibri"/>
          <w:color w:val="424242"/>
          <w:sz w:val="22"/>
          <w:szCs w:val="22"/>
        </w:rPr>
      </w:pPr>
      <w:r w:rsidRPr="008343E1">
        <w:rPr>
          <w:rFonts w:ascii="Open Sans Light" w:hAnsi="Open Sans Light" w:cs="Open Sans Light"/>
          <w:color w:val="424242"/>
          <w:sz w:val="22"/>
          <w:szCs w:val="22"/>
          <w:bdr w:val="none" w:sz="0" w:space="0" w:color="auto" w:frame="1"/>
        </w:rPr>
        <w:t>Maths</w:t>
      </w:r>
    </w:p>
    <w:p w14:paraId="698B019F" w14:textId="6B102453" w:rsidR="00A3320F" w:rsidRPr="008343E1" w:rsidRDefault="00A3320F" w:rsidP="00335E6E">
      <w:pPr>
        <w:pStyle w:val="NormalWeb"/>
        <w:numPr>
          <w:ilvl w:val="0"/>
          <w:numId w:val="8"/>
        </w:numPr>
        <w:shd w:val="clear" w:color="auto" w:fill="FFFFFF"/>
        <w:spacing w:before="0" w:beforeAutospacing="0" w:after="0" w:afterAutospacing="0"/>
        <w:rPr>
          <w:rFonts w:ascii="Calibri" w:hAnsi="Calibri" w:cs="Calibri"/>
          <w:color w:val="424242"/>
          <w:sz w:val="22"/>
          <w:szCs w:val="22"/>
        </w:rPr>
      </w:pPr>
      <w:r w:rsidRPr="008343E1">
        <w:rPr>
          <w:rFonts w:ascii="Open Sans Light" w:hAnsi="Open Sans Light" w:cs="Open Sans Light"/>
          <w:color w:val="424242"/>
          <w:sz w:val="22"/>
          <w:szCs w:val="22"/>
          <w:bdr w:val="none" w:sz="0" w:space="0" w:color="auto" w:frame="1"/>
        </w:rPr>
        <w:t>Combined Science</w:t>
      </w:r>
    </w:p>
    <w:p w14:paraId="14CA1D90" w14:textId="654E7DE9" w:rsidR="00A3320F" w:rsidRPr="008343E1" w:rsidRDefault="00A3320F"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bdr w:val="none" w:sz="0" w:space="0" w:color="auto" w:frame="1"/>
        </w:rPr>
      </w:pPr>
      <w:r w:rsidRPr="008343E1">
        <w:rPr>
          <w:rFonts w:ascii="Open Sans Light" w:hAnsi="Open Sans Light" w:cs="Open Sans Light"/>
          <w:color w:val="424242"/>
          <w:sz w:val="22"/>
          <w:szCs w:val="22"/>
          <w:bdr w:val="none" w:sz="0" w:space="0" w:color="auto" w:frame="1"/>
        </w:rPr>
        <w:t>Geography</w:t>
      </w:r>
      <w:r w:rsidR="008343E1" w:rsidRPr="008343E1">
        <w:rPr>
          <w:rFonts w:ascii="Open Sans Light" w:hAnsi="Open Sans Light" w:cs="Open Sans Light"/>
          <w:color w:val="424242"/>
          <w:sz w:val="22"/>
          <w:szCs w:val="22"/>
          <w:bdr w:val="none" w:sz="0" w:space="0" w:color="auto" w:frame="1"/>
        </w:rPr>
        <w:t xml:space="preserve"> (Y11)</w:t>
      </w:r>
    </w:p>
    <w:p w14:paraId="2D544EE7" w14:textId="5985DA8F" w:rsidR="008343E1" w:rsidRPr="00335E6E" w:rsidRDefault="008343E1"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rPr>
      </w:pPr>
      <w:r w:rsidRPr="00335E6E">
        <w:rPr>
          <w:rFonts w:ascii="Open Sans Light" w:hAnsi="Open Sans Light" w:cs="Open Sans Light"/>
          <w:color w:val="424242"/>
          <w:sz w:val="22"/>
          <w:szCs w:val="22"/>
        </w:rPr>
        <w:t>History (Y10)</w:t>
      </w:r>
    </w:p>
    <w:p w14:paraId="28DCC6E6" w14:textId="0F4133EE" w:rsidR="00A3320F" w:rsidRDefault="00A3320F"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bdr w:val="none" w:sz="0" w:space="0" w:color="auto" w:frame="1"/>
        </w:rPr>
      </w:pPr>
      <w:r w:rsidRPr="00335E6E">
        <w:rPr>
          <w:rFonts w:ascii="Open Sans Light" w:hAnsi="Open Sans Light" w:cs="Open Sans Light"/>
          <w:color w:val="424242"/>
          <w:sz w:val="22"/>
          <w:szCs w:val="22"/>
          <w:bdr w:val="none" w:sz="0" w:space="0" w:color="auto" w:frame="1"/>
        </w:rPr>
        <w:t>BTEC Sport</w:t>
      </w:r>
      <w:r w:rsidR="008343E1" w:rsidRPr="00335E6E">
        <w:rPr>
          <w:rFonts w:ascii="Open Sans Light" w:hAnsi="Open Sans Light" w:cs="Open Sans Light"/>
          <w:color w:val="424242"/>
          <w:sz w:val="22"/>
          <w:szCs w:val="22"/>
          <w:bdr w:val="none" w:sz="0" w:space="0" w:color="auto" w:frame="1"/>
        </w:rPr>
        <w:t xml:space="preserve"> (Y10 and Y11)</w:t>
      </w:r>
    </w:p>
    <w:p w14:paraId="4D2BC50A" w14:textId="21AC6D69" w:rsidR="00335E6E" w:rsidRDefault="00335E6E"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rPr>
      </w:pPr>
      <w:r>
        <w:rPr>
          <w:rFonts w:ascii="Open Sans Light" w:hAnsi="Open Sans Light" w:cs="Open Sans Light"/>
          <w:color w:val="424242"/>
          <w:sz w:val="22"/>
          <w:szCs w:val="22"/>
        </w:rPr>
        <w:t>BTEC Enterprise (Y11)</w:t>
      </w:r>
    </w:p>
    <w:p w14:paraId="3D29894C" w14:textId="34C56E17" w:rsidR="00335E6E" w:rsidRDefault="00335E6E"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rPr>
      </w:pPr>
      <w:r>
        <w:rPr>
          <w:rFonts w:ascii="Open Sans Light" w:hAnsi="Open Sans Light" w:cs="Open Sans Light"/>
          <w:color w:val="424242"/>
          <w:sz w:val="22"/>
          <w:szCs w:val="22"/>
        </w:rPr>
        <w:t>Art GCSE (Y10)</w:t>
      </w:r>
    </w:p>
    <w:p w14:paraId="1DF1904E" w14:textId="7B13F349" w:rsidR="00335E6E" w:rsidRPr="00335E6E" w:rsidRDefault="00335E6E"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rPr>
      </w:pPr>
      <w:r>
        <w:rPr>
          <w:rFonts w:ascii="Open Sans Light" w:hAnsi="Open Sans Light" w:cs="Open Sans Light"/>
          <w:color w:val="424242"/>
          <w:sz w:val="22"/>
          <w:szCs w:val="22"/>
        </w:rPr>
        <w:t>BTEC Health &amp; Social Care (Y10 and Y11)</w:t>
      </w:r>
    </w:p>
    <w:p w14:paraId="6ECD3D4D" w14:textId="153CB10B" w:rsidR="008343E1" w:rsidRPr="00335E6E" w:rsidRDefault="008343E1" w:rsidP="00335E6E">
      <w:pPr>
        <w:pStyle w:val="NormalWeb"/>
        <w:numPr>
          <w:ilvl w:val="0"/>
          <w:numId w:val="8"/>
        </w:numPr>
        <w:shd w:val="clear" w:color="auto" w:fill="FFFFFF"/>
        <w:spacing w:before="0" w:beforeAutospacing="0" w:after="0" w:afterAutospacing="0"/>
        <w:rPr>
          <w:rFonts w:ascii="Open Sans Light" w:hAnsi="Open Sans Light" w:cs="Open Sans Light"/>
          <w:color w:val="424242"/>
          <w:sz w:val="22"/>
          <w:szCs w:val="22"/>
        </w:rPr>
      </w:pPr>
      <w:r w:rsidRPr="00335E6E">
        <w:rPr>
          <w:rFonts w:ascii="Open Sans Light" w:hAnsi="Open Sans Light" w:cs="Open Sans Light"/>
          <w:color w:val="424242"/>
          <w:sz w:val="22"/>
          <w:szCs w:val="22"/>
        </w:rPr>
        <w:t>BTEC Travel &amp; Tourism (Y10)</w:t>
      </w:r>
    </w:p>
    <w:p w14:paraId="57ECFCE7" w14:textId="5371F499" w:rsidR="00A3320F" w:rsidRDefault="00A3320F" w:rsidP="00335E6E">
      <w:pPr>
        <w:pStyle w:val="NormalWeb"/>
        <w:shd w:val="clear" w:color="auto" w:fill="FFFFFF"/>
        <w:spacing w:before="0" w:beforeAutospacing="0" w:after="0" w:afterAutospacing="0"/>
        <w:ind w:firstLine="60"/>
        <w:rPr>
          <w:rFonts w:ascii="Calibri" w:hAnsi="Calibri" w:cs="Calibri"/>
          <w:color w:val="424242"/>
          <w:sz w:val="22"/>
          <w:szCs w:val="22"/>
        </w:rPr>
      </w:pPr>
    </w:p>
    <w:p w14:paraId="39AF185D"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Year 10 and Year 11 are taught separately. The progress (both academic and behavioural) of individual students is reviewed regularly and for some this may mean a return to mainstream provision.</w:t>
      </w:r>
    </w:p>
    <w:p w14:paraId="0D46830D"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t> </w:t>
      </w:r>
    </w:p>
    <w:p w14:paraId="651E4656"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Open Sans Light" w:hAnsi="Open Sans Light" w:cs="Open Sans Light"/>
          <w:color w:val="424242"/>
          <w:sz w:val="22"/>
          <w:szCs w:val="22"/>
          <w:bdr w:val="none" w:sz="0" w:space="0" w:color="auto" w:frame="1"/>
        </w:rPr>
        <w:lastRenderedPageBreak/>
        <w:t>As with Connect, a Behaviour Support Programme is also part of their taught curriculum. This is delivered through their VIP sessions by the Bridge Manager. Bespoke CEIAG sessions also take place, tailored to the aspirations and interests of the students.</w:t>
      </w:r>
    </w:p>
    <w:p w14:paraId="557D4F6C" w14:textId="77777777" w:rsidR="00A3320F" w:rsidRDefault="00A3320F" w:rsidP="00A3320F">
      <w:pPr>
        <w:pStyle w:val="NormalWeb"/>
        <w:shd w:val="clear" w:color="auto" w:fill="FFFFFF"/>
        <w:spacing w:before="0" w:beforeAutospacing="0" w:after="0" w:afterAutospacing="0"/>
        <w:rPr>
          <w:rFonts w:ascii="Calibri" w:hAnsi="Calibri" w:cs="Calibri"/>
          <w:color w:val="424242"/>
          <w:sz w:val="22"/>
          <w:szCs w:val="22"/>
        </w:rPr>
      </w:pPr>
      <w:r>
        <w:rPr>
          <w:rFonts w:ascii="Tahoma" w:hAnsi="Tahoma" w:cs="Tahoma"/>
          <w:color w:val="000000"/>
          <w:sz w:val="20"/>
          <w:szCs w:val="20"/>
          <w:bdr w:val="none" w:sz="0" w:space="0" w:color="auto" w:frame="1"/>
        </w:rPr>
        <w:t> </w:t>
      </w:r>
    </w:p>
    <w:p w14:paraId="6418E8E8" w14:textId="77777777" w:rsidR="00364DC8" w:rsidRDefault="00364DC8" w:rsidP="00364DC8">
      <w:pPr>
        <w:jc w:val="both"/>
        <w:rPr>
          <w:rFonts w:asciiTheme="minorHAnsi" w:hAnsiTheme="minorHAnsi" w:cstheme="minorHAnsi"/>
          <w:sz w:val="24"/>
          <w:szCs w:val="24"/>
        </w:rPr>
      </w:pPr>
    </w:p>
    <w:p w14:paraId="2AABEFB6" w14:textId="1063C788" w:rsidR="00364DC8" w:rsidRPr="00335E6E" w:rsidRDefault="00682CCC" w:rsidP="00364DC8">
      <w:pPr>
        <w:jc w:val="both"/>
        <w:rPr>
          <w:rFonts w:ascii="Open Sans Light" w:hAnsi="Open Sans Light" w:cs="Open Sans Light"/>
          <w:b/>
          <w:bCs/>
          <w:color w:val="7030A0"/>
          <w:sz w:val="22"/>
          <w:szCs w:val="22"/>
        </w:rPr>
      </w:pPr>
      <w:r w:rsidRPr="00335E6E">
        <w:rPr>
          <w:rFonts w:ascii="Open Sans Light" w:hAnsi="Open Sans Light" w:cs="Open Sans Light"/>
          <w:b/>
          <w:bCs/>
          <w:color w:val="7030A0"/>
          <w:sz w:val="22"/>
          <w:szCs w:val="22"/>
        </w:rPr>
        <w:t>LEARNING DEVELOPMENT CENTRE</w:t>
      </w:r>
    </w:p>
    <w:p w14:paraId="2F071038" w14:textId="77777777" w:rsidR="00364DC8" w:rsidRPr="00335E6E" w:rsidRDefault="00364DC8" w:rsidP="00364DC8">
      <w:pPr>
        <w:jc w:val="both"/>
        <w:rPr>
          <w:rFonts w:ascii="Open Sans Light" w:hAnsi="Open Sans Light" w:cs="Open Sans Light"/>
          <w:sz w:val="22"/>
          <w:szCs w:val="22"/>
        </w:rPr>
      </w:pPr>
      <w:r w:rsidRPr="00335E6E">
        <w:rPr>
          <w:rFonts w:ascii="Open Sans Light" w:hAnsi="Open Sans Light" w:cs="Open Sans Light"/>
          <w:sz w:val="22"/>
          <w:szCs w:val="22"/>
        </w:rPr>
        <w:t>This alternative exists for students finding it very difficult or impossible to follow the normal timetable in the main school environment. Students in the LDC may have severe anxiety or current difficulties due to mental health, and/or may be school refusers identified as having EBSA for a variety of reasons.</w:t>
      </w:r>
    </w:p>
    <w:p w14:paraId="16B237BB" w14:textId="77777777" w:rsidR="00364DC8" w:rsidRPr="00335E6E" w:rsidRDefault="00364DC8" w:rsidP="00364DC8">
      <w:pPr>
        <w:jc w:val="both"/>
        <w:rPr>
          <w:rFonts w:ascii="Open Sans Light" w:hAnsi="Open Sans Light" w:cs="Open Sans Light"/>
          <w:sz w:val="22"/>
          <w:szCs w:val="22"/>
        </w:rPr>
      </w:pPr>
    </w:p>
    <w:p w14:paraId="4E10C50B" w14:textId="541C6BC2" w:rsidR="00364DC8" w:rsidRPr="00335E6E" w:rsidRDefault="00364DC8" w:rsidP="00364DC8">
      <w:pPr>
        <w:jc w:val="both"/>
        <w:rPr>
          <w:rFonts w:ascii="Open Sans Light" w:hAnsi="Open Sans Light" w:cs="Open Sans Light"/>
          <w:sz w:val="22"/>
          <w:szCs w:val="22"/>
        </w:rPr>
      </w:pPr>
      <w:r w:rsidRPr="00335E6E">
        <w:rPr>
          <w:rFonts w:ascii="Open Sans Light" w:hAnsi="Open Sans Light" w:cs="Open Sans Light"/>
          <w:sz w:val="22"/>
          <w:szCs w:val="22"/>
        </w:rPr>
        <w:t xml:space="preserve">Students in the </w:t>
      </w:r>
      <w:r w:rsidR="00177756" w:rsidRPr="00335E6E">
        <w:rPr>
          <w:rFonts w:ascii="Open Sans Light" w:hAnsi="Open Sans Light" w:cs="Open Sans Light"/>
          <w:sz w:val="22"/>
          <w:szCs w:val="22"/>
        </w:rPr>
        <w:t xml:space="preserve">KS3 </w:t>
      </w:r>
      <w:r w:rsidRPr="00335E6E">
        <w:rPr>
          <w:rFonts w:ascii="Open Sans Light" w:hAnsi="Open Sans Light" w:cs="Open Sans Light"/>
          <w:sz w:val="22"/>
          <w:szCs w:val="22"/>
        </w:rPr>
        <w:t>LDC follow the full curriculum, as if in main school</w:t>
      </w:r>
      <w:r w:rsidR="00A01D20" w:rsidRPr="00335E6E">
        <w:rPr>
          <w:rFonts w:ascii="Open Sans Light" w:hAnsi="Open Sans Light" w:cs="Open Sans Light"/>
          <w:sz w:val="22"/>
          <w:szCs w:val="22"/>
        </w:rPr>
        <w:t xml:space="preserve"> and access specialist rooms as necessary:</w:t>
      </w:r>
    </w:p>
    <w:p w14:paraId="7464151A"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English</w:t>
      </w:r>
    </w:p>
    <w:p w14:paraId="3E8A8C0B"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Maths</w:t>
      </w:r>
    </w:p>
    <w:p w14:paraId="642B56BD"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Science</w:t>
      </w:r>
    </w:p>
    <w:p w14:paraId="6DAB7B35"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Geography</w:t>
      </w:r>
    </w:p>
    <w:p w14:paraId="66A28555"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History</w:t>
      </w:r>
    </w:p>
    <w:p w14:paraId="03E1E912"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French or Spanish</w:t>
      </w:r>
    </w:p>
    <w:p w14:paraId="0CB70D31"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Physical Education</w:t>
      </w:r>
    </w:p>
    <w:p w14:paraId="6581C65F"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RE</w:t>
      </w:r>
    </w:p>
    <w:p w14:paraId="3EA425D8" w14:textId="308012EB" w:rsidR="00364DC8" w:rsidRPr="00335E6E" w:rsidRDefault="003A319C"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Computing</w:t>
      </w:r>
    </w:p>
    <w:p w14:paraId="3A4CA88F"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 xml:space="preserve">Art </w:t>
      </w:r>
    </w:p>
    <w:p w14:paraId="4335ABFF" w14:textId="2E82942F" w:rsidR="00364DC8" w:rsidRPr="00335E6E" w:rsidRDefault="00364DC8" w:rsidP="00812491">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Music</w:t>
      </w:r>
      <w:r w:rsidR="00812491" w:rsidRPr="00335E6E">
        <w:rPr>
          <w:rFonts w:ascii="Open Sans Light" w:eastAsia="Open Sans" w:hAnsi="Open Sans Light" w:cs="Open Sans Light"/>
          <w:sz w:val="22"/>
          <w:szCs w:val="22"/>
        </w:rPr>
        <w:t xml:space="preserve"> (through enrichment afternoons)</w:t>
      </w:r>
    </w:p>
    <w:p w14:paraId="7D14201D"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Technology</w:t>
      </w:r>
    </w:p>
    <w:p w14:paraId="0820E782" w14:textId="77777777" w:rsidR="00364DC8" w:rsidRPr="00335E6E" w:rsidRDefault="00364DC8"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PSHCE</w:t>
      </w:r>
    </w:p>
    <w:p w14:paraId="438F46CE" w14:textId="08C4486D" w:rsidR="00A01D20" w:rsidRPr="00335E6E" w:rsidRDefault="00A01D20" w:rsidP="00364DC8">
      <w:pPr>
        <w:pStyle w:val="ListParagraph"/>
        <w:numPr>
          <w:ilvl w:val="0"/>
          <w:numId w:val="1"/>
        </w:numPr>
        <w:rPr>
          <w:rFonts w:ascii="Open Sans Light" w:eastAsia="Open Sans" w:hAnsi="Open Sans Light" w:cs="Open Sans Light"/>
          <w:sz w:val="22"/>
          <w:szCs w:val="22"/>
        </w:rPr>
      </w:pPr>
      <w:r w:rsidRPr="00335E6E">
        <w:rPr>
          <w:rFonts w:ascii="Open Sans Light" w:eastAsia="Open Sans" w:hAnsi="Open Sans Light" w:cs="Open Sans Light"/>
          <w:sz w:val="22"/>
          <w:szCs w:val="22"/>
        </w:rPr>
        <w:t>Drama</w:t>
      </w:r>
    </w:p>
    <w:p w14:paraId="715E1A26" w14:textId="77777777" w:rsidR="00364DC8" w:rsidRPr="00335E6E" w:rsidRDefault="00364DC8" w:rsidP="00364DC8">
      <w:pPr>
        <w:rPr>
          <w:rFonts w:ascii="Open Sans Light" w:hAnsi="Open Sans Light" w:cs="Open Sans Light"/>
          <w:sz w:val="22"/>
          <w:szCs w:val="22"/>
        </w:rPr>
      </w:pPr>
    </w:p>
    <w:p w14:paraId="421E1F49" w14:textId="6428EE01" w:rsidR="00364DC8" w:rsidRPr="00335E6E" w:rsidRDefault="00364DC8" w:rsidP="00364DC8">
      <w:pPr>
        <w:jc w:val="both"/>
        <w:rPr>
          <w:rFonts w:ascii="Open Sans Light" w:hAnsi="Open Sans Light" w:cs="Open Sans Light"/>
          <w:sz w:val="22"/>
          <w:szCs w:val="22"/>
        </w:rPr>
      </w:pPr>
      <w:r w:rsidRPr="00335E6E">
        <w:rPr>
          <w:rFonts w:ascii="Open Sans Light" w:hAnsi="Open Sans Light" w:cs="Open Sans Light"/>
          <w:sz w:val="22"/>
          <w:szCs w:val="22"/>
        </w:rPr>
        <w:t>KS3 are taught together as a mixed age group; KS4 are taught both separately as Y10 and Y11 or together. KS4 students have access to the full range of option subjects.</w:t>
      </w:r>
      <w:r w:rsidR="00355BE6" w:rsidRPr="00335E6E">
        <w:rPr>
          <w:rFonts w:ascii="Open Sans Light" w:hAnsi="Open Sans Light" w:cs="Open Sans Light"/>
          <w:sz w:val="22"/>
          <w:szCs w:val="22"/>
        </w:rPr>
        <w:t xml:space="preserve"> The options subjects that are taught in the LDC are: </w:t>
      </w:r>
    </w:p>
    <w:p w14:paraId="4F17DDA8" w14:textId="68EB958F" w:rsidR="00355BE6" w:rsidRPr="00335E6E" w:rsidRDefault="00355BE6" w:rsidP="00355BE6">
      <w:pPr>
        <w:pStyle w:val="ListParagraph"/>
        <w:numPr>
          <w:ilvl w:val="0"/>
          <w:numId w:val="4"/>
        </w:numPr>
        <w:jc w:val="both"/>
        <w:rPr>
          <w:rFonts w:ascii="Open Sans Light" w:hAnsi="Open Sans Light" w:cs="Open Sans Light"/>
          <w:sz w:val="22"/>
          <w:szCs w:val="22"/>
        </w:rPr>
      </w:pPr>
      <w:r w:rsidRPr="00335E6E">
        <w:rPr>
          <w:rFonts w:ascii="Open Sans Light" w:hAnsi="Open Sans Light" w:cs="Open Sans Light"/>
          <w:sz w:val="22"/>
          <w:szCs w:val="22"/>
        </w:rPr>
        <w:t>Geography (Y10 and Y11)</w:t>
      </w:r>
    </w:p>
    <w:p w14:paraId="07557138" w14:textId="13C884B1" w:rsidR="00355BE6" w:rsidRPr="00335E6E" w:rsidRDefault="00731A39" w:rsidP="00355BE6">
      <w:pPr>
        <w:pStyle w:val="ListParagraph"/>
        <w:numPr>
          <w:ilvl w:val="0"/>
          <w:numId w:val="4"/>
        </w:numPr>
        <w:jc w:val="both"/>
        <w:rPr>
          <w:rFonts w:ascii="Open Sans Light" w:hAnsi="Open Sans Light" w:cs="Open Sans Light"/>
          <w:sz w:val="22"/>
          <w:szCs w:val="22"/>
        </w:rPr>
      </w:pPr>
      <w:r w:rsidRPr="00335E6E">
        <w:rPr>
          <w:rFonts w:ascii="Open Sans Light" w:hAnsi="Open Sans Light" w:cs="Open Sans Light"/>
          <w:sz w:val="22"/>
          <w:szCs w:val="22"/>
        </w:rPr>
        <w:t>Travel and Tourism (Y10 and Y11)</w:t>
      </w:r>
    </w:p>
    <w:p w14:paraId="5AFBB36C" w14:textId="7C9181DB" w:rsidR="00731A39" w:rsidRPr="00335E6E" w:rsidRDefault="00731A39" w:rsidP="00355BE6">
      <w:pPr>
        <w:pStyle w:val="ListParagraph"/>
        <w:numPr>
          <w:ilvl w:val="0"/>
          <w:numId w:val="4"/>
        </w:numPr>
        <w:jc w:val="both"/>
        <w:rPr>
          <w:rFonts w:ascii="Open Sans Light" w:hAnsi="Open Sans Light" w:cs="Open Sans Light"/>
          <w:sz w:val="22"/>
          <w:szCs w:val="22"/>
        </w:rPr>
      </w:pPr>
      <w:r w:rsidRPr="00335E6E">
        <w:rPr>
          <w:rFonts w:ascii="Open Sans Light" w:hAnsi="Open Sans Light" w:cs="Open Sans Light"/>
          <w:sz w:val="22"/>
          <w:szCs w:val="22"/>
        </w:rPr>
        <w:t>Sport (Y10 and Y11)</w:t>
      </w:r>
    </w:p>
    <w:p w14:paraId="40FFC435" w14:textId="3DE91A3C" w:rsidR="00731A39" w:rsidRPr="00335E6E" w:rsidRDefault="00731A39" w:rsidP="00355BE6">
      <w:pPr>
        <w:pStyle w:val="ListParagraph"/>
        <w:numPr>
          <w:ilvl w:val="0"/>
          <w:numId w:val="4"/>
        </w:numPr>
        <w:jc w:val="both"/>
        <w:rPr>
          <w:rFonts w:ascii="Open Sans Light" w:hAnsi="Open Sans Light" w:cs="Open Sans Light"/>
          <w:sz w:val="22"/>
          <w:szCs w:val="22"/>
        </w:rPr>
      </w:pPr>
      <w:r w:rsidRPr="00335E6E">
        <w:rPr>
          <w:rFonts w:ascii="Open Sans Light" w:hAnsi="Open Sans Light" w:cs="Open Sans Light"/>
          <w:sz w:val="22"/>
          <w:szCs w:val="22"/>
        </w:rPr>
        <w:t>Health and Social Care (Y11)</w:t>
      </w:r>
    </w:p>
    <w:p w14:paraId="48A915BC" w14:textId="62641CB7" w:rsidR="00731A39" w:rsidRPr="00335E6E" w:rsidRDefault="00731A39" w:rsidP="00355BE6">
      <w:pPr>
        <w:pStyle w:val="ListParagraph"/>
        <w:numPr>
          <w:ilvl w:val="0"/>
          <w:numId w:val="4"/>
        </w:numPr>
        <w:jc w:val="both"/>
        <w:rPr>
          <w:rFonts w:ascii="Open Sans Light" w:hAnsi="Open Sans Light" w:cs="Open Sans Light"/>
          <w:sz w:val="22"/>
          <w:szCs w:val="22"/>
        </w:rPr>
      </w:pPr>
      <w:r w:rsidRPr="00335E6E">
        <w:rPr>
          <w:rFonts w:ascii="Open Sans Light" w:hAnsi="Open Sans Light" w:cs="Open Sans Light"/>
          <w:sz w:val="22"/>
          <w:szCs w:val="22"/>
        </w:rPr>
        <w:t>Art (Y10)</w:t>
      </w:r>
    </w:p>
    <w:p w14:paraId="18A31A8C" w14:textId="00CC00CF" w:rsidR="00364DC8" w:rsidRPr="00335E6E" w:rsidRDefault="00364DC8" w:rsidP="00364DC8">
      <w:pPr>
        <w:jc w:val="both"/>
        <w:rPr>
          <w:rFonts w:ascii="Open Sans Light" w:hAnsi="Open Sans Light" w:cs="Open Sans Light"/>
          <w:sz w:val="22"/>
          <w:szCs w:val="22"/>
        </w:rPr>
      </w:pPr>
    </w:p>
    <w:p w14:paraId="443E3D55" w14:textId="4A99DBD7" w:rsidR="00364DC8" w:rsidRPr="00335E6E" w:rsidRDefault="00364DC8" w:rsidP="00364DC8">
      <w:pPr>
        <w:jc w:val="both"/>
        <w:rPr>
          <w:rFonts w:ascii="Open Sans Light" w:hAnsi="Open Sans Light" w:cs="Open Sans Light"/>
          <w:sz w:val="22"/>
          <w:szCs w:val="22"/>
        </w:rPr>
      </w:pPr>
      <w:r w:rsidRPr="00335E6E">
        <w:rPr>
          <w:rFonts w:ascii="Open Sans Light" w:hAnsi="Open Sans Light" w:cs="Open Sans Light"/>
          <w:sz w:val="22"/>
          <w:szCs w:val="22"/>
        </w:rPr>
        <w:t xml:space="preserve">As part of their reintegration, all KS3 &amp; KS4 students will be encouraged to start accessing some lessons in main school. KS4 students can go to lessons in main school for core and option subjects if appropriate. </w:t>
      </w:r>
    </w:p>
    <w:p w14:paraId="22C3C2DE" w14:textId="77777777" w:rsidR="00364DC8" w:rsidRPr="00335E6E" w:rsidRDefault="00364DC8" w:rsidP="00364DC8">
      <w:pPr>
        <w:jc w:val="both"/>
        <w:rPr>
          <w:rFonts w:ascii="Open Sans Light" w:hAnsi="Open Sans Light" w:cs="Open Sans Light"/>
          <w:sz w:val="22"/>
          <w:szCs w:val="22"/>
        </w:rPr>
      </w:pPr>
    </w:p>
    <w:p w14:paraId="4B178215" w14:textId="3157976C" w:rsidR="00364DC8" w:rsidRPr="00335E6E" w:rsidRDefault="00364DC8" w:rsidP="00364DC8">
      <w:pPr>
        <w:jc w:val="both"/>
        <w:rPr>
          <w:rFonts w:ascii="Open Sans Light" w:hAnsi="Open Sans Light" w:cs="Open Sans Light"/>
          <w:sz w:val="22"/>
          <w:szCs w:val="22"/>
        </w:rPr>
      </w:pPr>
      <w:r w:rsidRPr="00335E6E">
        <w:rPr>
          <w:rFonts w:ascii="Open Sans Light" w:hAnsi="Open Sans Light" w:cs="Open Sans Light"/>
          <w:sz w:val="22"/>
          <w:szCs w:val="22"/>
        </w:rPr>
        <w:t xml:space="preserve">An individual plan is put in place for each student and reviewed once per half-term. It is always the intention that a placement in the LDC is a temporary measure to encourage the </w:t>
      </w:r>
      <w:r w:rsidRPr="00335E6E">
        <w:rPr>
          <w:rFonts w:ascii="Open Sans Light" w:hAnsi="Open Sans Light" w:cs="Open Sans Light"/>
          <w:sz w:val="22"/>
          <w:szCs w:val="22"/>
        </w:rPr>
        <w:lastRenderedPageBreak/>
        <w:t>students to eventually participate fully in the mainstream school.</w:t>
      </w:r>
      <w:r w:rsidR="006E66AF" w:rsidRPr="00335E6E">
        <w:rPr>
          <w:rFonts w:ascii="Open Sans Light" w:hAnsi="Open Sans Light" w:cs="Open Sans Light"/>
          <w:sz w:val="22"/>
          <w:szCs w:val="22"/>
        </w:rPr>
        <w:t xml:space="preserve"> The length of time spent in the LDC will vary according to individual circumstances.</w:t>
      </w:r>
    </w:p>
    <w:p w14:paraId="5FE64BC0" w14:textId="77777777" w:rsidR="00364DC8" w:rsidRPr="00335E6E" w:rsidRDefault="00364DC8" w:rsidP="00364DC8">
      <w:pPr>
        <w:jc w:val="both"/>
        <w:rPr>
          <w:rFonts w:ascii="Open Sans Light" w:hAnsi="Open Sans Light" w:cs="Open Sans Light"/>
          <w:sz w:val="22"/>
          <w:szCs w:val="22"/>
        </w:rPr>
      </w:pPr>
    </w:p>
    <w:p w14:paraId="35368C6B" w14:textId="77777777" w:rsidR="00364DC8" w:rsidRPr="00335E6E" w:rsidRDefault="00364DC8" w:rsidP="00364DC8">
      <w:pPr>
        <w:jc w:val="both"/>
        <w:rPr>
          <w:rFonts w:ascii="Open Sans Light" w:hAnsi="Open Sans Light" w:cs="Open Sans Light"/>
          <w:b/>
          <w:bCs/>
          <w:color w:val="FF0000"/>
          <w:sz w:val="22"/>
          <w:szCs w:val="22"/>
        </w:rPr>
      </w:pPr>
    </w:p>
    <w:sectPr w:rsidR="00364DC8" w:rsidRPr="00335E6E" w:rsidSect="00682CCC">
      <w:headerReference w:type="default" r:id="rId7"/>
      <w:footerReference w:type="default" r:id="rId8"/>
      <w:pgSz w:w="11906" w:h="16838"/>
      <w:pgMar w:top="2127" w:right="1440" w:bottom="1440" w:left="144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805AC" w14:textId="77777777" w:rsidR="007D6323" w:rsidRDefault="007D6323" w:rsidP="00C56C52">
      <w:r>
        <w:separator/>
      </w:r>
    </w:p>
  </w:endnote>
  <w:endnote w:type="continuationSeparator" w:id="0">
    <w:p w14:paraId="31833D11" w14:textId="77777777" w:rsidR="007D6323" w:rsidRDefault="007D6323" w:rsidP="00C56C52">
      <w:r>
        <w:continuationSeparator/>
      </w:r>
    </w:p>
  </w:endnote>
  <w:endnote w:type="continuationNotice" w:id="1">
    <w:p w14:paraId="7FBDBF8B" w14:textId="77777777" w:rsidR="007D6323" w:rsidRDefault="007D6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7B1D" w14:textId="4DD36E13" w:rsidR="00884CFF" w:rsidRDefault="00510360">
    <w:pPr>
      <w:pStyle w:val="Footer"/>
    </w:pPr>
    <w:r w:rsidRPr="00D84C14">
      <w:rPr>
        <w:rFonts w:ascii="Open Sans Light" w:hAnsi="Open Sans Light" w:cs="Open Sans Light"/>
        <w:strike/>
        <w:noProof/>
        <w:color w:val="FF0000"/>
        <w:sz w:val="36"/>
        <w:szCs w:val="36"/>
        <w:lang w:eastAsia="en-GB"/>
      </w:rPr>
      <w:drawing>
        <wp:anchor distT="0" distB="0" distL="114300" distR="114300" simplePos="0" relativeHeight="251658240" behindDoc="0" locked="0" layoutInCell="1" allowOverlap="1" wp14:anchorId="4332A84B" wp14:editId="0023F1F5">
          <wp:simplePos x="0" y="0"/>
          <wp:positionH relativeFrom="margin">
            <wp:posOffset>2122820</wp:posOffset>
          </wp:positionH>
          <wp:positionV relativeFrom="paragraph">
            <wp:posOffset>-268440</wp:posOffset>
          </wp:positionV>
          <wp:extent cx="1486894" cy="472559"/>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894" cy="472559"/>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A5445" w14:textId="77777777" w:rsidR="007D6323" w:rsidRDefault="007D6323" w:rsidP="00C56C52">
      <w:r>
        <w:separator/>
      </w:r>
    </w:p>
  </w:footnote>
  <w:footnote w:type="continuationSeparator" w:id="0">
    <w:p w14:paraId="0A511610" w14:textId="77777777" w:rsidR="007D6323" w:rsidRDefault="007D6323" w:rsidP="00C56C52">
      <w:r>
        <w:continuationSeparator/>
      </w:r>
    </w:p>
  </w:footnote>
  <w:footnote w:type="continuationNotice" w:id="1">
    <w:p w14:paraId="0BD97E96" w14:textId="77777777" w:rsidR="007D6323" w:rsidRDefault="007D6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F12" w14:textId="7BED85FD" w:rsidR="00884CFF" w:rsidRDefault="00E26544">
    <w:pPr>
      <w:pStyle w:val="Header"/>
    </w:pPr>
    <w:r>
      <w:rPr>
        <w:rFonts w:ascii="Symbol" w:hAnsi="Symbol" w:cs="MS Mincho"/>
        <w:noProof/>
        <w:sz w:val="40"/>
        <w:szCs w:val="40"/>
      </w:rPr>
      <w:drawing>
        <wp:anchor distT="0" distB="0" distL="114300" distR="114300" simplePos="0" relativeHeight="251660288" behindDoc="1" locked="0" layoutInCell="1" allowOverlap="1" wp14:anchorId="4C247D97" wp14:editId="2848D703">
          <wp:simplePos x="0" y="0"/>
          <wp:positionH relativeFrom="column">
            <wp:posOffset>4707144</wp:posOffset>
          </wp:positionH>
          <wp:positionV relativeFrom="paragraph">
            <wp:posOffset>28133</wp:posOffset>
          </wp:positionV>
          <wp:extent cx="1467015" cy="52150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015" cy="521508"/>
                  </a:xfrm>
                  <a:prstGeom prst="rect">
                    <a:avLst/>
                  </a:prstGeom>
                  <a:noFill/>
                </pic:spPr>
              </pic:pic>
            </a:graphicData>
          </a:graphic>
          <wp14:sizeRelH relativeFrom="page">
            <wp14:pctWidth>0</wp14:pctWidth>
          </wp14:sizeRelH>
          <wp14:sizeRelV relativeFrom="page">
            <wp14:pctHeight>0</wp14:pctHeight>
          </wp14:sizeRelV>
        </wp:anchor>
      </w:drawing>
    </w:r>
    <w:r w:rsidRPr="00D84C14">
      <w:rPr>
        <w:rFonts w:ascii="Open Sans Light" w:hAnsi="Open Sans Light" w:cs="Open Sans Light"/>
        <w:strike/>
        <w:noProof/>
        <w:color w:val="FF0000"/>
        <w:lang w:eastAsia="en-GB"/>
      </w:rPr>
      <w:drawing>
        <wp:anchor distT="0" distB="0" distL="114300" distR="114300" simplePos="0" relativeHeight="251656192" behindDoc="0" locked="0" layoutInCell="1" allowOverlap="1" wp14:anchorId="53EB2CBC" wp14:editId="629BD29B">
          <wp:simplePos x="0" y="0"/>
          <wp:positionH relativeFrom="column">
            <wp:posOffset>-341078</wp:posOffset>
          </wp:positionH>
          <wp:positionV relativeFrom="paragraph">
            <wp:posOffset>27553</wp:posOffset>
          </wp:positionV>
          <wp:extent cx="1550504" cy="7656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ec 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504" cy="76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F09"/>
    <w:multiLevelType w:val="hybridMultilevel"/>
    <w:tmpl w:val="FF1C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93F7C"/>
    <w:multiLevelType w:val="hybridMultilevel"/>
    <w:tmpl w:val="3F5060E2"/>
    <w:lvl w:ilvl="0" w:tplc="849A67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EE3116"/>
    <w:multiLevelType w:val="hybridMultilevel"/>
    <w:tmpl w:val="F6524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B87D8B"/>
    <w:multiLevelType w:val="hybridMultilevel"/>
    <w:tmpl w:val="B28A0BA2"/>
    <w:lvl w:ilvl="0" w:tplc="849A67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8E72C1"/>
    <w:multiLevelType w:val="hybridMultilevel"/>
    <w:tmpl w:val="6B3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72040"/>
    <w:multiLevelType w:val="hybridMultilevel"/>
    <w:tmpl w:val="D7463FA8"/>
    <w:lvl w:ilvl="0" w:tplc="849A67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97EC7"/>
    <w:multiLevelType w:val="hybridMultilevel"/>
    <w:tmpl w:val="D5AC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235AC"/>
    <w:multiLevelType w:val="hybridMultilevel"/>
    <w:tmpl w:val="8266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33487"/>
    <w:multiLevelType w:val="hybridMultilevel"/>
    <w:tmpl w:val="B1E63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C5319D"/>
    <w:multiLevelType w:val="hybridMultilevel"/>
    <w:tmpl w:val="101AF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2265474">
    <w:abstractNumId w:val="4"/>
  </w:num>
  <w:num w:numId="2" w16cid:durableId="1125468099">
    <w:abstractNumId w:val="6"/>
  </w:num>
  <w:num w:numId="3" w16cid:durableId="684090610">
    <w:abstractNumId w:val="7"/>
  </w:num>
  <w:num w:numId="4" w16cid:durableId="1107695737">
    <w:abstractNumId w:val="0"/>
  </w:num>
  <w:num w:numId="5" w16cid:durableId="1118722633">
    <w:abstractNumId w:val="8"/>
  </w:num>
  <w:num w:numId="6" w16cid:durableId="1474365779">
    <w:abstractNumId w:val="9"/>
  </w:num>
  <w:num w:numId="7" w16cid:durableId="1603955365">
    <w:abstractNumId w:val="2"/>
  </w:num>
  <w:num w:numId="8" w16cid:durableId="1947499863">
    <w:abstractNumId w:val="1"/>
  </w:num>
  <w:num w:numId="9" w16cid:durableId="1214538095">
    <w:abstractNumId w:val="5"/>
  </w:num>
  <w:num w:numId="10" w16cid:durableId="52884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52"/>
    <w:rsid w:val="00081B68"/>
    <w:rsid w:val="00092410"/>
    <w:rsid w:val="000B35F8"/>
    <w:rsid w:val="00105733"/>
    <w:rsid w:val="00171479"/>
    <w:rsid w:val="00177756"/>
    <w:rsid w:val="00180F29"/>
    <w:rsid w:val="001834D1"/>
    <w:rsid w:val="002101CD"/>
    <w:rsid w:val="00212221"/>
    <w:rsid w:val="002B4767"/>
    <w:rsid w:val="002B7DC7"/>
    <w:rsid w:val="00335E6E"/>
    <w:rsid w:val="00355BE6"/>
    <w:rsid w:val="00364DC8"/>
    <w:rsid w:val="003A319C"/>
    <w:rsid w:val="004B474F"/>
    <w:rsid w:val="004B79A4"/>
    <w:rsid w:val="004C0775"/>
    <w:rsid w:val="004E1606"/>
    <w:rsid w:val="004F2C99"/>
    <w:rsid w:val="00510360"/>
    <w:rsid w:val="005146FA"/>
    <w:rsid w:val="00532006"/>
    <w:rsid w:val="00563D79"/>
    <w:rsid w:val="00565D0C"/>
    <w:rsid w:val="00571F34"/>
    <w:rsid w:val="00596C44"/>
    <w:rsid w:val="005B2881"/>
    <w:rsid w:val="0066296D"/>
    <w:rsid w:val="00681CCE"/>
    <w:rsid w:val="00682CCC"/>
    <w:rsid w:val="006B2540"/>
    <w:rsid w:val="006E66AF"/>
    <w:rsid w:val="006F7785"/>
    <w:rsid w:val="007072FF"/>
    <w:rsid w:val="00731A39"/>
    <w:rsid w:val="007D6323"/>
    <w:rsid w:val="00812491"/>
    <w:rsid w:val="008343E1"/>
    <w:rsid w:val="008459A6"/>
    <w:rsid w:val="00884CFF"/>
    <w:rsid w:val="009C1AF5"/>
    <w:rsid w:val="00A01D20"/>
    <w:rsid w:val="00A3320F"/>
    <w:rsid w:val="00B31A0A"/>
    <w:rsid w:val="00B57697"/>
    <w:rsid w:val="00BD12C2"/>
    <w:rsid w:val="00BF25A8"/>
    <w:rsid w:val="00C56C52"/>
    <w:rsid w:val="00C6115E"/>
    <w:rsid w:val="00C63612"/>
    <w:rsid w:val="00C95155"/>
    <w:rsid w:val="00CA277C"/>
    <w:rsid w:val="00CE36E6"/>
    <w:rsid w:val="00D042A5"/>
    <w:rsid w:val="00DA5862"/>
    <w:rsid w:val="00E022F6"/>
    <w:rsid w:val="00E26544"/>
    <w:rsid w:val="00E717B8"/>
    <w:rsid w:val="00E74CA2"/>
    <w:rsid w:val="00EA3FDB"/>
    <w:rsid w:val="00EC06A2"/>
    <w:rsid w:val="00F706CD"/>
    <w:rsid w:val="00F92E90"/>
    <w:rsid w:val="00FB05BA"/>
    <w:rsid w:val="09627AD1"/>
    <w:rsid w:val="0B9C7ED9"/>
    <w:rsid w:val="0C9A1B93"/>
    <w:rsid w:val="13095D17"/>
    <w:rsid w:val="2180DD85"/>
    <w:rsid w:val="24C0578B"/>
    <w:rsid w:val="2993D6A3"/>
    <w:rsid w:val="2FFA6D07"/>
    <w:rsid w:val="33269BAC"/>
    <w:rsid w:val="34182CC7"/>
    <w:rsid w:val="35B3FD28"/>
    <w:rsid w:val="38EB9DEA"/>
    <w:rsid w:val="3DBF0F0D"/>
    <w:rsid w:val="536450FC"/>
    <w:rsid w:val="5856AFB3"/>
    <w:rsid w:val="64C1AAB3"/>
    <w:rsid w:val="6AEEF171"/>
    <w:rsid w:val="715587D5"/>
    <w:rsid w:val="7AFFA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C3BF"/>
  <w15:chartTrackingRefBased/>
  <w15:docId w15:val="{366FA941-FBCE-4130-A5F8-BF0F6516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2"/>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C52"/>
    <w:pPr>
      <w:ind w:left="720"/>
      <w:contextualSpacing/>
    </w:pPr>
  </w:style>
  <w:style w:type="paragraph" w:styleId="Header">
    <w:name w:val="header"/>
    <w:basedOn w:val="Normal"/>
    <w:link w:val="HeaderChar"/>
    <w:uiPriority w:val="99"/>
    <w:unhideWhenUsed/>
    <w:rsid w:val="00B57697"/>
    <w:pPr>
      <w:tabs>
        <w:tab w:val="center" w:pos="4513"/>
        <w:tab w:val="right" w:pos="9026"/>
      </w:tabs>
    </w:pPr>
  </w:style>
  <w:style w:type="character" w:customStyle="1" w:styleId="HeaderChar">
    <w:name w:val="Header Char"/>
    <w:basedOn w:val="DefaultParagraphFont"/>
    <w:link w:val="Header"/>
    <w:uiPriority w:val="99"/>
    <w:rsid w:val="00B57697"/>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B57697"/>
    <w:pPr>
      <w:tabs>
        <w:tab w:val="center" w:pos="4513"/>
        <w:tab w:val="right" w:pos="9026"/>
      </w:tabs>
    </w:pPr>
  </w:style>
  <w:style w:type="character" w:customStyle="1" w:styleId="FooterChar">
    <w:name w:val="Footer Char"/>
    <w:basedOn w:val="DefaultParagraphFont"/>
    <w:link w:val="Footer"/>
    <w:uiPriority w:val="99"/>
    <w:rsid w:val="00B57697"/>
    <w:rPr>
      <w:rFonts w:ascii="Times New Roman" w:eastAsia="Times New Roman" w:hAnsi="Times New Roman" w:cs="Times New Roman"/>
      <w:sz w:val="20"/>
      <w:szCs w:val="20"/>
      <w:lang w:eastAsia="ar-SA"/>
    </w:rPr>
  </w:style>
  <w:style w:type="paragraph" w:styleId="NormalWeb">
    <w:name w:val="Normal (Web)"/>
    <w:basedOn w:val="Normal"/>
    <w:uiPriority w:val="99"/>
    <w:semiHidden/>
    <w:unhideWhenUsed/>
    <w:rsid w:val="00A3320F"/>
    <w:pPr>
      <w:suppressAutoHyphens w:val="0"/>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Humphreys</dc:creator>
  <cp:keywords/>
  <dc:description/>
  <cp:lastModifiedBy>Taffy Brown</cp:lastModifiedBy>
  <cp:revision>2</cp:revision>
  <dcterms:created xsi:type="dcterms:W3CDTF">2024-12-04T12:25:00Z</dcterms:created>
  <dcterms:modified xsi:type="dcterms:W3CDTF">2024-12-04T12:25:00Z</dcterms:modified>
</cp:coreProperties>
</file>